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B6603" w14:textId="7E7681EB" w:rsidR="00ED62BC" w:rsidRDefault="00ED62BC">
      <w:r w:rsidRPr="00ED62BC">
        <w:t xml:space="preserve">Federal Student Aid Institutional Reporting &amp; Disclosure Requirements Completion/Graduation and Transfer-Out Rates as of August 2024 for Fall 2021 Cohort </w:t>
      </w:r>
    </w:p>
    <w:p w14:paraId="0149B08A" w14:textId="0306434E" w:rsidR="00ED62BC" w:rsidRDefault="00ED62BC">
      <w:r w:rsidRPr="00ED62BC">
        <w:rPr>
          <w:b/>
          <w:bCs/>
        </w:rPr>
        <w:t>Graduation and Transfer-Out Rates</w:t>
      </w:r>
      <w:r w:rsidRPr="00ED62BC">
        <w:t xml:space="preserve">    </w:t>
      </w:r>
    </w:p>
    <w:p w14:paraId="0C580A0E" w14:textId="0EEE6A59" w:rsidR="00ED62BC" w:rsidRDefault="00ED62BC">
      <w:r w:rsidRPr="00ED62BC">
        <w:t>Fall 202</w:t>
      </w:r>
      <w:r>
        <w:t>0</w:t>
      </w:r>
      <w:r w:rsidRPr="00ED62BC">
        <w:t xml:space="preserve"> First-Time, Full-Time In Any College Cohort –</w:t>
      </w:r>
      <w:r w:rsidR="00903944">
        <w:t>360</w:t>
      </w:r>
    </w:p>
    <w:p w14:paraId="6E9F1672" w14:textId="70CA6A34" w:rsidR="00ED62BC" w:rsidRDefault="00ED62BC">
      <w:r w:rsidRPr="00ED62BC">
        <w:t xml:space="preserve">% Graduate within 150% of normal time to completion </w:t>
      </w:r>
      <w:r>
        <w:t>-</w:t>
      </w:r>
      <w:r w:rsidRPr="00ED62BC">
        <w:t xml:space="preserve"> </w:t>
      </w:r>
      <w:r w:rsidR="002E5D77">
        <w:t>32</w:t>
      </w:r>
      <w:r w:rsidRPr="00ED62BC">
        <w:t xml:space="preserve">% </w:t>
      </w:r>
    </w:p>
    <w:p w14:paraId="44DE9E9F" w14:textId="7389243C" w:rsidR="00ED62BC" w:rsidRDefault="00ED62BC">
      <w:r w:rsidRPr="00ED62BC">
        <w:t xml:space="preserve">% Transfer-out </w:t>
      </w:r>
      <w:r>
        <w:t>-</w:t>
      </w:r>
      <w:r w:rsidR="002E5D77">
        <w:t>25</w:t>
      </w:r>
      <w:r>
        <w:t xml:space="preserve"> %</w:t>
      </w:r>
    </w:p>
    <w:tbl>
      <w:tblPr>
        <w:tblStyle w:val="TableGrid"/>
        <w:tblW w:w="0" w:type="auto"/>
        <w:tblLook w:val="04A0" w:firstRow="1" w:lastRow="0" w:firstColumn="1" w:lastColumn="0" w:noHBand="0" w:noVBand="1"/>
      </w:tblPr>
      <w:tblGrid>
        <w:gridCol w:w="2337"/>
        <w:gridCol w:w="2337"/>
        <w:gridCol w:w="2338"/>
        <w:gridCol w:w="2338"/>
      </w:tblGrid>
      <w:tr w:rsidR="00ED62BC" w14:paraId="2AE65041" w14:textId="77777777">
        <w:tc>
          <w:tcPr>
            <w:tcW w:w="2337" w:type="dxa"/>
          </w:tcPr>
          <w:p w14:paraId="514EA9A1" w14:textId="32F9EABD" w:rsidR="00ED62BC" w:rsidRPr="00ED62BC" w:rsidRDefault="00ED62BC">
            <w:pPr>
              <w:rPr>
                <w:b/>
                <w:bCs/>
              </w:rPr>
            </w:pPr>
            <w:r w:rsidRPr="00ED62BC">
              <w:rPr>
                <w:b/>
                <w:bCs/>
              </w:rPr>
              <w:t>Men</w:t>
            </w:r>
          </w:p>
        </w:tc>
        <w:tc>
          <w:tcPr>
            <w:tcW w:w="2337" w:type="dxa"/>
          </w:tcPr>
          <w:p w14:paraId="51CE6985" w14:textId="69AC8B86" w:rsidR="00ED62BC" w:rsidRPr="00ED62BC" w:rsidRDefault="00ED62BC" w:rsidP="00ED62BC">
            <w:pPr>
              <w:jc w:val="center"/>
              <w:rPr>
                <w:b/>
                <w:bCs/>
              </w:rPr>
            </w:pPr>
            <w:r w:rsidRPr="00ED62BC">
              <w:rPr>
                <w:b/>
                <w:bCs/>
              </w:rPr>
              <w:t>Graduate (150% time)</w:t>
            </w:r>
          </w:p>
        </w:tc>
        <w:tc>
          <w:tcPr>
            <w:tcW w:w="2338" w:type="dxa"/>
          </w:tcPr>
          <w:p w14:paraId="76B2F099" w14:textId="54591634" w:rsidR="00ED62BC" w:rsidRPr="00ED62BC" w:rsidRDefault="00ED62BC" w:rsidP="00ED62BC">
            <w:pPr>
              <w:jc w:val="center"/>
              <w:rPr>
                <w:b/>
                <w:bCs/>
              </w:rPr>
            </w:pPr>
            <w:r w:rsidRPr="00ED62BC">
              <w:rPr>
                <w:b/>
                <w:bCs/>
              </w:rPr>
              <w:t>Transfer-Out</w:t>
            </w:r>
          </w:p>
        </w:tc>
        <w:tc>
          <w:tcPr>
            <w:tcW w:w="2338" w:type="dxa"/>
          </w:tcPr>
          <w:p w14:paraId="49C52341" w14:textId="6FD420F9" w:rsidR="00ED62BC" w:rsidRPr="00ED62BC" w:rsidRDefault="00ED62BC" w:rsidP="00ED62BC">
            <w:pPr>
              <w:jc w:val="center"/>
              <w:rPr>
                <w:b/>
                <w:bCs/>
              </w:rPr>
            </w:pPr>
            <w:r w:rsidRPr="00ED62BC">
              <w:rPr>
                <w:b/>
                <w:bCs/>
              </w:rPr>
              <w:t>Total</w:t>
            </w:r>
          </w:p>
        </w:tc>
      </w:tr>
      <w:tr w:rsidR="00ED62BC" w14:paraId="469E0C27" w14:textId="77777777">
        <w:tc>
          <w:tcPr>
            <w:tcW w:w="2337" w:type="dxa"/>
          </w:tcPr>
          <w:p w14:paraId="60A186B5" w14:textId="7862589F" w:rsidR="00ED62BC" w:rsidRDefault="00ED62BC">
            <w:r>
              <w:t>US Nonresident</w:t>
            </w:r>
            <w:r w:rsidR="004A6A72">
              <w:t xml:space="preserve"> (n=0)</w:t>
            </w:r>
          </w:p>
        </w:tc>
        <w:tc>
          <w:tcPr>
            <w:tcW w:w="2337" w:type="dxa"/>
          </w:tcPr>
          <w:p w14:paraId="2FB9B754" w14:textId="6E9063EC" w:rsidR="00ED62BC" w:rsidRDefault="004A6A72">
            <w:r>
              <w:t>0</w:t>
            </w:r>
            <w:r w:rsidR="0098657F">
              <w:t xml:space="preserve"> (0%)</w:t>
            </w:r>
          </w:p>
        </w:tc>
        <w:tc>
          <w:tcPr>
            <w:tcW w:w="2338" w:type="dxa"/>
          </w:tcPr>
          <w:p w14:paraId="02BAE8BC" w14:textId="70BA0DA8" w:rsidR="00ED62BC" w:rsidRDefault="004A6A72">
            <w:r>
              <w:t>0</w:t>
            </w:r>
            <w:r w:rsidR="0098657F">
              <w:t xml:space="preserve"> (0%)</w:t>
            </w:r>
          </w:p>
        </w:tc>
        <w:tc>
          <w:tcPr>
            <w:tcW w:w="2338" w:type="dxa"/>
          </w:tcPr>
          <w:p w14:paraId="577F3841" w14:textId="30A8FC11" w:rsidR="00ED62BC" w:rsidRDefault="004A6A72">
            <w:r>
              <w:t>0</w:t>
            </w:r>
            <w:r w:rsidR="0098657F">
              <w:t xml:space="preserve"> (0%)</w:t>
            </w:r>
          </w:p>
        </w:tc>
      </w:tr>
      <w:tr w:rsidR="00ED62BC" w14:paraId="322432D8" w14:textId="77777777">
        <w:tc>
          <w:tcPr>
            <w:tcW w:w="2337" w:type="dxa"/>
          </w:tcPr>
          <w:p w14:paraId="38450C49" w14:textId="515D808D" w:rsidR="00ED62BC" w:rsidRDefault="00ED62BC">
            <w:r>
              <w:t>Hispanic/Latino</w:t>
            </w:r>
            <w:r w:rsidR="004A6A72">
              <w:t xml:space="preserve"> (n=9)</w:t>
            </w:r>
          </w:p>
        </w:tc>
        <w:tc>
          <w:tcPr>
            <w:tcW w:w="2337" w:type="dxa"/>
          </w:tcPr>
          <w:p w14:paraId="4BF5175F" w14:textId="44441BED" w:rsidR="00ED62BC" w:rsidRDefault="004A6A72">
            <w:r>
              <w:t>2</w:t>
            </w:r>
            <w:r w:rsidR="0098657F">
              <w:t xml:space="preserve"> (22%)</w:t>
            </w:r>
          </w:p>
        </w:tc>
        <w:tc>
          <w:tcPr>
            <w:tcW w:w="2338" w:type="dxa"/>
          </w:tcPr>
          <w:p w14:paraId="148E82F6" w14:textId="3A8EF0A3" w:rsidR="00ED62BC" w:rsidRDefault="004A6A72">
            <w:r>
              <w:t>2</w:t>
            </w:r>
            <w:r w:rsidR="0098657F">
              <w:t xml:space="preserve"> (22%)</w:t>
            </w:r>
          </w:p>
        </w:tc>
        <w:tc>
          <w:tcPr>
            <w:tcW w:w="2338" w:type="dxa"/>
          </w:tcPr>
          <w:p w14:paraId="3A42DCFA" w14:textId="1FEAC0D4" w:rsidR="00ED62BC" w:rsidRDefault="004A6A72">
            <w:r>
              <w:t>4</w:t>
            </w:r>
            <w:r w:rsidR="0098657F">
              <w:t xml:space="preserve"> (44%)</w:t>
            </w:r>
          </w:p>
        </w:tc>
      </w:tr>
      <w:tr w:rsidR="00ED62BC" w14:paraId="7CFDFCB7" w14:textId="77777777">
        <w:tc>
          <w:tcPr>
            <w:tcW w:w="2337" w:type="dxa"/>
          </w:tcPr>
          <w:p w14:paraId="31BF6202" w14:textId="12B56ECB" w:rsidR="00ED62BC" w:rsidRDefault="00ED62BC">
            <w:r>
              <w:t>American Indian or Alaskan Native</w:t>
            </w:r>
            <w:r w:rsidR="004A6A72">
              <w:t xml:space="preserve"> (n=2)</w:t>
            </w:r>
          </w:p>
        </w:tc>
        <w:tc>
          <w:tcPr>
            <w:tcW w:w="2337" w:type="dxa"/>
          </w:tcPr>
          <w:p w14:paraId="161FC2E4" w14:textId="4E16BBC0" w:rsidR="00ED62BC" w:rsidRDefault="004A6A72">
            <w:r>
              <w:t>0</w:t>
            </w:r>
            <w:r w:rsidR="0098657F">
              <w:t xml:space="preserve"> (0%)</w:t>
            </w:r>
          </w:p>
        </w:tc>
        <w:tc>
          <w:tcPr>
            <w:tcW w:w="2338" w:type="dxa"/>
          </w:tcPr>
          <w:p w14:paraId="5B846856" w14:textId="56DF5E6A" w:rsidR="00ED62BC" w:rsidRDefault="004A6A72">
            <w:r>
              <w:t>1</w:t>
            </w:r>
            <w:r w:rsidR="0098657F">
              <w:t xml:space="preserve"> (50%)</w:t>
            </w:r>
          </w:p>
        </w:tc>
        <w:tc>
          <w:tcPr>
            <w:tcW w:w="2338" w:type="dxa"/>
          </w:tcPr>
          <w:p w14:paraId="01A39E56" w14:textId="66BE8F4A" w:rsidR="00ED62BC" w:rsidRDefault="004A6A72">
            <w:r>
              <w:t>1</w:t>
            </w:r>
            <w:r w:rsidR="0098657F">
              <w:t xml:space="preserve"> (50%)</w:t>
            </w:r>
          </w:p>
        </w:tc>
      </w:tr>
      <w:tr w:rsidR="004A6A72" w14:paraId="23428F26" w14:textId="77777777">
        <w:tc>
          <w:tcPr>
            <w:tcW w:w="2337" w:type="dxa"/>
          </w:tcPr>
          <w:p w14:paraId="52CAEBED" w14:textId="32908162" w:rsidR="004A6A72" w:rsidRDefault="004A6A72">
            <w:r>
              <w:t>Asian (n=0)</w:t>
            </w:r>
          </w:p>
        </w:tc>
        <w:tc>
          <w:tcPr>
            <w:tcW w:w="2337" w:type="dxa"/>
          </w:tcPr>
          <w:p w14:paraId="4DC9C3E8" w14:textId="22056290" w:rsidR="004A6A72" w:rsidRDefault="004A6A72">
            <w:r>
              <w:t>0</w:t>
            </w:r>
            <w:r w:rsidR="0098657F">
              <w:t xml:space="preserve"> (0%)</w:t>
            </w:r>
          </w:p>
        </w:tc>
        <w:tc>
          <w:tcPr>
            <w:tcW w:w="2338" w:type="dxa"/>
          </w:tcPr>
          <w:p w14:paraId="506D68D5" w14:textId="39CA5400" w:rsidR="004A6A72" w:rsidRDefault="004A6A72">
            <w:r>
              <w:t>0</w:t>
            </w:r>
            <w:r w:rsidR="0098657F">
              <w:t xml:space="preserve"> (0%)</w:t>
            </w:r>
          </w:p>
        </w:tc>
        <w:tc>
          <w:tcPr>
            <w:tcW w:w="2338" w:type="dxa"/>
          </w:tcPr>
          <w:p w14:paraId="105B8D25" w14:textId="30C314D0" w:rsidR="004A6A72" w:rsidRDefault="004A6A72">
            <w:r>
              <w:t>0</w:t>
            </w:r>
            <w:r w:rsidR="0098657F">
              <w:t xml:space="preserve"> (0%)</w:t>
            </w:r>
          </w:p>
        </w:tc>
      </w:tr>
      <w:tr w:rsidR="00ED62BC" w14:paraId="130E4A94" w14:textId="77777777">
        <w:tc>
          <w:tcPr>
            <w:tcW w:w="2337" w:type="dxa"/>
          </w:tcPr>
          <w:p w14:paraId="36D4F085" w14:textId="5ECBB76F" w:rsidR="00ED62BC" w:rsidRDefault="00ED62BC">
            <w:r>
              <w:t>Black or African American</w:t>
            </w:r>
            <w:r w:rsidR="004A6A72">
              <w:t xml:space="preserve"> (n=3)</w:t>
            </w:r>
          </w:p>
        </w:tc>
        <w:tc>
          <w:tcPr>
            <w:tcW w:w="2337" w:type="dxa"/>
          </w:tcPr>
          <w:p w14:paraId="221BDCE2" w14:textId="7F6C6C78" w:rsidR="00ED62BC" w:rsidRDefault="004A6A72">
            <w:r>
              <w:t>0</w:t>
            </w:r>
            <w:r w:rsidR="0098657F">
              <w:t xml:space="preserve"> (0%)</w:t>
            </w:r>
          </w:p>
        </w:tc>
        <w:tc>
          <w:tcPr>
            <w:tcW w:w="2338" w:type="dxa"/>
          </w:tcPr>
          <w:p w14:paraId="21F59748" w14:textId="474335F8" w:rsidR="00ED62BC" w:rsidRDefault="004A6A72">
            <w:r>
              <w:t>1</w:t>
            </w:r>
            <w:r w:rsidR="0098657F">
              <w:t xml:space="preserve"> (33%)</w:t>
            </w:r>
          </w:p>
        </w:tc>
        <w:tc>
          <w:tcPr>
            <w:tcW w:w="2338" w:type="dxa"/>
          </w:tcPr>
          <w:p w14:paraId="65B95C14" w14:textId="3CE71123" w:rsidR="00ED62BC" w:rsidRDefault="004A6A72">
            <w:r>
              <w:t>1</w:t>
            </w:r>
            <w:r w:rsidR="0098657F">
              <w:t xml:space="preserve"> (33%)</w:t>
            </w:r>
          </w:p>
        </w:tc>
      </w:tr>
      <w:tr w:rsidR="00ED62BC" w14:paraId="74D4D72B" w14:textId="77777777">
        <w:tc>
          <w:tcPr>
            <w:tcW w:w="2337" w:type="dxa"/>
          </w:tcPr>
          <w:p w14:paraId="264FC50B" w14:textId="4164F3D7" w:rsidR="00ED62BC" w:rsidRDefault="00ED62BC">
            <w:r>
              <w:t>Native Hawaiian or Other Pacific Islander</w:t>
            </w:r>
            <w:r w:rsidR="004A6A72">
              <w:t xml:space="preserve"> (n=0)</w:t>
            </w:r>
          </w:p>
        </w:tc>
        <w:tc>
          <w:tcPr>
            <w:tcW w:w="2337" w:type="dxa"/>
          </w:tcPr>
          <w:p w14:paraId="5D46F017" w14:textId="396BEBCA" w:rsidR="00ED62BC" w:rsidRDefault="004A6A72">
            <w:r>
              <w:t>0</w:t>
            </w:r>
            <w:r w:rsidR="0098657F">
              <w:t xml:space="preserve"> (0%)</w:t>
            </w:r>
          </w:p>
        </w:tc>
        <w:tc>
          <w:tcPr>
            <w:tcW w:w="2338" w:type="dxa"/>
          </w:tcPr>
          <w:p w14:paraId="05758BEF" w14:textId="11F4319C" w:rsidR="00ED62BC" w:rsidRDefault="004A6A72">
            <w:r>
              <w:t>0</w:t>
            </w:r>
            <w:r w:rsidR="0098657F">
              <w:t xml:space="preserve"> (0%)</w:t>
            </w:r>
          </w:p>
        </w:tc>
        <w:tc>
          <w:tcPr>
            <w:tcW w:w="2338" w:type="dxa"/>
          </w:tcPr>
          <w:p w14:paraId="098600AE" w14:textId="45B93630" w:rsidR="00ED62BC" w:rsidRDefault="004A6A72">
            <w:r>
              <w:t>0</w:t>
            </w:r>
            <w:r w:rsidR="0098657F">
              <w:t xml:space="preserve"> (0%)</w:t>
            </w:r>
          </w:p>
        </w:tc>
      </w:tr>
      <w:tr w:rsidR="00ED62BC" w14:paraId="2B1792E4" w14:textId="77777777">
        <w:tc>
          <w:tcPr>
            <w:tcW w:w="2337" w:type="dxa"/>
          </w:tcPr>
          <w:p w14:paraId="38203F59" w14:textId="51F91CC9" w:rsidR="00ED62BC" w:rsidRDefault="00ED62BC">
            <w:r>
              <w:t>White</w:t>
            </w:r>
            <w:r w:rsidR="004A6A72">
              <w:t xml:space="preserve"> (n = 119)</w:t>
            </w:r>
          </w:p>
        </w:tc>
        <w:tc>
          <w:tcPr>
            <w:tcW w:w="2337" w:type="dxa"/>
          </w:tcPr>
          <w:p w14:paraId="482AFE44" w14:textId="64DAF2E1" w:rsidR="00ED62BC" w:rsidRDefault="004A6A72">
            <w:r>
              <w:t>30</w:t>
            </w:r>
            <w:r w:rsidR="0098657F">
              <w:t xml:space="preserve"> (25%)</w:t>
            </w:r>
          </w:p>
        </w:tc>
        <w:tc>
          <w:tcPr>
            <w:tcW w:w="2338" w:type="dxa"/>
          </w:tcPr>
          <w:p w14:paraId="346954BD" w14:textId="184A5C0F" w:rsidR="00ED62BC" w:rsidRDefault="004A6A72">
            <w:r>
              <w:t>38</w:t>
            </w:r>
            <w:r w:rsidR="0098657F">
              <w:t xml:space="preserve"> (32%)</w:t>
            </w:r>
          </w:p>
        </w:tc>
        <w:tc>
          <w:tcPr>
            <w:tcW w:w="2338" w:type="dxa"/>
          </w:tcPr>
          <w:p w14:paraId="47E4AEED" w14:textId="4E4C5BF2" w:rsidR="00ED62BC" w:rsidRDefault="004A6A72">
            <w:r>
              <w:t>68</w:t>
            </w:r>
            <w:r w:rsidR="0098657F">
              <w:t xml:space="preserve"> (57%)</w:t>
            </w:r>
          </w:p>
        </w:tc>
      </w:tr>
      <w:tr w:rsidR="00ED62BC" w14:paraId="1A5C8181" w14:textId="77777777">
        <w:tc>
          <w:tcPr>
            <w:tcW w:w="2337" w:type="dxa"/>
          </w:tcPr>
          <w:p w14:paraId="426AF1AC" w14:textId="221B3CDA" w:rsidR="00ED62BC" w:rsidRDefault="00ED62BC">
            <w:r>
              <w:t>Two or More Races</w:t>
            </w:r>
            <w:r w:rsidR="004A6A72">
              <w:t xml:space="preserve"> (n=6)</w:t>
            </w:r>
          </w:p>
        </w:tc>
        <w:tc>
          <w:tcPr>
            <w:tcW w:w="2337" w:type="dxa"/>
          </w:tcPr>
          <w:p w14:paraId="1BC619D8" w14:textId="5CCD8025" w:rsidR="00ED62BC" w:rsidRDefault="004A6A72">
            <w:r>
              <w:t>3</w:t>
            </w:r>
            <w:r w:rsidR="0098657F">
              <w:t xml:space="preserve"> (50%)</w:t>
            </w:r>
          </w:p>
        </w:tc>
        <w:tc>
          <w:tcPr>
            <w:tcW w:w="2338" w:type="dxa"/>
          </w:tcPr>
          <w:p w14:paraId="19DA3C74" w14:textId="51AEB153" w:rsidR="00ED62BC" w:rsidRDefault="004A6A72">
            <w:r>
              <w:t>2</w:t>
            </w:r>
            <w:r w:rsidR="0098657F">
              <w:t xml:space="preserve"> (33%)</w:t>
            </w:r>
          </w:p>
        </w:tc>
        <w:tc>
          <w:tcPr>
            <w:tcW w:w="2338" w:type="dxa"/>
          </w:tcPr>
          <w:p w14:paraId="644DDE78" w14:textId="05616FA4" w:rsidR="00ED62BC" w:rsidRDefault="004A6A72">
            <w:r>
              <w:t>5</w:t>
            </w:r>
            <w:r w:rsidR="0098657F">
              <w:t xml:space="preserve"> (83%)</w:t>
            </w:r>
          </w:p>
        </w:tc>
      </w:tr>
      <w:tr w:rsidR="00ED62BC" w14:paraId="2C6FCA0F" w14:textId="77777777">
        <w:tc>
          <w:tcPr>
            <w:tcW w:w="2337" w:type="dxa"/>
          </w:tcPr>
          <w:p w14:paraId="69E0F885" w14:textId="4ACE8FBB" w:rsidR="00ED62BC" w:rsidRDefault="00ED62BC">
            <w:r>
              <w:t>Race and Ethnicity Unknown</w:t>
            </w:r>
            <w:r w:rsidR="004A6A72">
              <w:t xml:space="preserve"> (n =1)</w:t>
            </w:r>
          </w:p>
        </w:tc>
        <w:tc>
          <w:tcPr>
            <w:tcW w:w="2337" w:type="dxa"/>
          </w:tcPr>
          <w:p w14:paraId="76AAEB2B" w14:textId="7715A811" w:rsidR="00ED62BC" w:rsidRDefault="004A6A72">
            <w:r>
              <w:t>0</w:t>
            </w:r>
            <w:r w:rsidR="0098657F">
              <w:t xml:space="preserve"> (0%)</w:t>
            </w:r>
          </w:p>
        </w:tc>
        <w:tc>
          <w:tcPr>
            <w:tcW w:w="2338" w:type="dxa"/>
          </w:tcPr>
          <w:p w14:paraId="160CBD32" w14:textId="6CADA375" w:rsidR="00ED62BC" w:rsidRDefault="004A6A72">
            <w:r>
              <w:t>0</w:t>
            </w:r>
            <w:r w:rsidR="0098657F">
              <w:t xml:space="preserve"> (0%)</w:t>
            </w:r>
          </w:p>
        </w:tc>
        <w:tc>
          <w:tcPr>
            <w:tcW w:w="2338" w:type="dxa"/>
          </w:tcPr>
          <w:p w14:paraId="01C2E249" w14:textId="2F7EC3A6" w:rsidR="00ED62BC" w:rsidRDefault="004A6A72">
            <w:r>
              <w:t>0</w:t>
            </w:r>
            <w:r w:rsidR="0098657F">
              <w:t xml:space="preserve"> (0%)</w:t>
            </w:r>
          </w:p>
        </w:tc>
      </w:tr>
      <w:tr w:rsidR="00ED62BC" w14:paraId="6F7C6043" w14:textId="77777777">
        <w:tc>
          <w:tcPr>
            <w:tcW w:w="2337" w:type="dxa"/>
          </w:tcPr>
          <w:p w14:paraId="57A77C7D" w14:textId="65B7AC44" w:rsidR="00ED62BC" w:rsidRPr="00ED62BC" w:rsidRDefault="00ED62BC">
            <w:pPr>
              <w:rPr>
                <w:b/>
                <w:bCs/>
              </w:rPr>
            </w:pPr>
            <w:r w:rsidRPr="00ED62BC">
              <w:rPr>
                <w:b/>
                <w:bCs/>
              </w:rPr>
              <w:t>Total Men</w:t>
            </w:r>
            <w:r w:rsidR="004A6A72">
              <w:rPr>
                <w:b/>
                <w:bCs/>
              </w:rPr>
              <w:t xml:space="preserve"> (n=140)</w:t>
            </w:r>
          </w:p>
        </w:tc>
        <w:tc>
          <w:tcPr>
            <w:tcW w:w="2337" w:type="dxa"/>
          </w:tcPr>
          <w:p w14:paraId="4F5FAC7D" w14:textId="2DF6CCFA" w:rsidR="00ED62BC" w:rsidRDefault="004A6A72">
            <w:r>
              <w:t>35</w:t>
            </w:r>
            <w:r w:rsidR="0098657F">
              <w:t xml:space="preserve"> (25%)</w:t>
            </w:r>
          </w:p>
        </w:tc>
        <w:tc>
          <w:tcPr>
            <w:tcW w:w="2338" w:type="dxa"/>
          </w:tcPr>
          <w:p w14:paraId="24691286" w14:textId="00E200A3" w:rsidR="00ED62BC" w:rsidRDefault="004A6A72">
            <w:r>
              <w:t>44</w:t>
            </w:r>
            <w:r w:rsidR="0098657F">
              <w:t xml:space="preserve"> (31%)</w:t>
            </w:r>
          </w:p>
        </w:tc>
        <w:tc>
          <w:tcPr>
            <w:tcW w:w="2338" w:type="dxa"/>
          </w:tcPr>
          <w:p w14:paraId="6DF873B9" w14:textId="53B34BC1" w:rsidR="00ED62BC" w:rsidRDefault="004A6A72">
            <w:r>
              <w:t>79</w:t>
            </w:r>
            <w:r w:rsidR="0098657F">
              <w:t xml:space="preserve"> (56%)</w:t>
            </w:r>
          </w:p>
        </w:tc>
      </w:tr>
    </w:tbl>
    <w:p w14:paraId="3B07706D" w14:textId="77777777" w:rsidR="00ED62BC" w:rsidRDefault="00ED62BC"/>
    <w:p w14:paraId="4AB5D551" w14:textId="77777777" w:rsidR="00ED62BC" w:rsidRDefault="00ED62BC"/>
    <w:p w14:paraId="03D88DDD" w14:textId="77777777" w:rsidR="00845E63" w:rsidRDefault="00845E63"/>
    <w:p w14:paraId="05B7D5EE" w14:textId="77777777" w:rsidR="0081076C" w:rsidRDefault="0081076C"/>
    <w:p w14:paraId="6172FB4F" w14:textId="77777777" w:rsidR="00845E63" w:rsidRDefault="00845E63"/>
    <w:p w14:paraId="4CD77460" w14:textId="77777777" w:rsidR="00845E63" w:rsidRDefault="00845E63"/>
    <w:p w14:paraId="7332E216" w14:textId="77777777" w:rsidR="00845E63" w:rsidRDefault="00845E63"/>
    <w:p w14:paraId="7B3B1EB6" w14:textId="77777777" w:rsidR="00845E63" w:rsidRDefault="00845E63"/>
    <w:tbl>
      <w:tblPr>
        <w:tblStyle w:val="TableGrid"/>
        <w:tblW w:w="0" w:type="auto"/>
        <w:tblLook w:val="04A0" w:firstRow="1" w:lastRow="0" w:firstColumn="1" w:lastColumn="0" w:noHBand="0" w:noVBand="1"/>
      </w:tblPr>
      <w:tblGrid>
        <w:gridCol w:w="2337"/>
        <w:gridCol w:w="2337"/>
        <w:gridCol w:w="2338"/>
        <w:gridCol w:w="2338"/>
      </w:tblGrid>
      <w:tr w:rsidR="00ED62BC" w:rsidRPr="00ED62BC" w14:paraId="42E9620E" w14:textId="77777777" w:rsidTr="00DF4104">
        <w:tc>
          <w:tcPr>
            <w:tcW w:w="2337" w:type="dxa"/>
          </w:tcPr>
          <w:p w14:paraId="71B55359" w14:textId="3E974C38" w:rsidR="00ED62BC" w:rsidRPr="00ED62BC" w:rsidRDefault="00ED62BC" w:rsidP="00DF4104">
            <w:pPr>
              <w:rPr>
                <w:b/>
                <w:bCs/>
              </w:rPr>
            </w:pPr>
            <w:r>
              <w:rPr>
                <w:b/>
                <w:bCs/>
              </w:rPr>
              <w:lastRenderedPageBreak/>
              <w:t>Women</w:t>
            </w:r>
          </w:p>
        </w:tc>
        <w:tc>
          <w:tcPr>
            <w:tcW w:w="2337" w:type="dxa"/>
          </w:tcPr>
          <w:p w14:paraId="544B6628" w14:textId="77777777" w:rsidR="00ED62BC" w:rsidRPr="00ED62BC" w:rsidRDefault="00ED62BC" w:rsidP="00DF4104">
            <w:pPr>
              <w:jc w:val="center"/>
              <w:rPr>
                <w:b/>
                <w:bCs/>
              </w:rPr>
            </w:pPr>
            <w:r w:rsidRPr="00ED62BC">
              <w:rPr>
                <w:b/>
                <w:bCs/>
              </w:rPr>
              <w:t>Graduate (150% time)</w:t>
            </w:r>
          </w:p>
        </w:tc>
        <w:tc>
          <w:tcPr>
            <w:tcW w:w="2338" w:type="dxa"/>
          </w:tcPr>
          <w:p w14:paraId="6B9AEADD" w14:textId="77777777" w:rsidR="00ED62BC" w:rsidRPr="00ED62BC" w:rsidRDefault="00ED62BC" w:rsidP="00DF4104">
            <w:pPr>
              <w:jc w:val="center"/>
              <w:rPr>
                <w:b/>
                <w:bCs/>
              </w:rPr>
            </w:pPr>
            <w:r w:rsidRPr="00ED62BC">
              <w:rPr>
                <w:b/>
                <w:bCs/>
              </w:rPr>
              <w:t>Transfer-Out</w:t>
            </w:r>
          </w:p>
        </w:tc>
        <w:tc>
          <w:tcPr>
            <w:tcW w:w="2338" w:type="dxa"/>
          </w:tcPr>
          <w:p w14:paraId="3131146D" w14:textId="77777777" w:rsidR="00ED62BC" w:rsidRPr="00ED62BC" w:rsidRDefault="00ED62BC" w:rsidP="00DF4104">
            <w:pPr>
              <w:jc w:val="center"/>
              <w:rPr>
                <w:b/>
                <w:bCs/>
              </w:rPr>
            </w:pPr>
            <w:r w:rsidRPr="00ED62BC">
              <w:rPr>
                <w:b/>
                <w:bCs/>
              </w:rPr>
              <w:t>Total</w:t>
            </w:r>
          </w:p>
        </w:tc>
      </w:tr>
      <w:tr w:rsidR="00ED62BC" w14:paraId="09B5717A" w14:textId="77777777" w:rsidTr="00DF4104">
        <w:tc>
          <w:tcPr>
            <w:tcW w:w="2337" w:type="dxa"/>
          </w:tcPr>
          <w:p w14:paraId="0E637F5E" w14:textId="600DB07C" w:rsidR="00ED62BC" w:rsidRDefault="00ED62BC" w:rsidP="00DF4104">
            <w:r>
              <w:t>US Nonresident</w:t>
            </w:r>
            <w:r w:rsidR="0098657F">
              <w:t xml:space="preserve"> (n=0)</w:t>
            </w:r>
          </w:p>
        </w:tc>
        <w:tc>
          <w:tcPr>
            <w:tcW w:w="2337" w:type="dxa"/>
          </w:tcPr>
          <w:p w14:paraId="1A19E92E" w14:textId="099077AF" w:rsidR="00ED62BC" w:rsidRDefault="0098657F" w:rsidP="00DF4104">
            <w:r>
              <w:t>0 (0%)</w:t>
            </w:r>
          </w:p>
        </w:tc>
        <w:tc>
          <w:tcPr>
            <w:tcW w:w="2338" w:type="dxa"/>
          </w:tcPr>
          <w:p w14:paraId="6F134DBE" w14:textId="00716BDE" w:rsidR="00ED62BC" w:rsidRDefault="0098657F" w:rsidP="00DF4104">
            <w:r>
              <w:t>0 (0%)</w:t>
            </w:r>
          </w:p>
        </w:tc>
        <w:tc>
          <w:tcPr>
            <w:tcW w:w="2338" w:type="dxa"/>
          </w:tcPr>
          <w:p w14:paraId="529A6F87" w14:textId="1A43CC43" w:rsidR="00ED62BC" w:rsidRDefault="0098657F" w:rsidP="00DF4104">
            <w:r>
              <w:t>0 (0%)</w:t>
            </w:r>
          </w:p>
        </w:tc>
      </w:tr>
      <w:tr w:rsidR="00ED62BC" w14:paraId="43548D41" w14:textId="77777777" w:rsidTr="00DF4104">
        <w:tc>
          <w:tcPr>
            <w:tcW w:w="2337" w:type="dxa"/>
          </w:tcPr>
          <w:p w14:paraId="10CF0A39" w14:textId="41C0EBD8" w:rsidR="00ED62BC" w:rsidRDefault="00ED62BC" w:rsidP="00DF4104">
            <w:r>
              <w:t>Hispanic/Latino</w:t>
            </w:r>
            <w:r w:rsidR="0098657F">
              <w:t xml:space="preserve"> (n=13)</w:t>
            </w:r>
          </w:p>
        </w:tc>
        <w:tc>
          <w:tcPr>
            <w:tcW w:w="2337" w:type="dxa"/>
          </w:tcPr>
          <w:p w14:paraId="71C7E952" w14:textId="38E74AD3" w:rsidR="00ED62BC" w:rsidRDefault="0098657F" w:rsidP="00DF4104">
            <w:r>
              <w:t>4 (31%)</w:t>
            </w:r>
          </w:p>
        </w:tc>
        <w:tc>
          <w:tcPr>
            <w:tcW w:w="2338" w:type="dxa"/>
          </w:tcPr>
          <w:p w14:paraId="1D4EECF9" w14:textId="51A0FE22" w:rsidR="00ED62BC" w:rsidRDefault="0098657F" w:rsidP="00DF4104">
            <w:r>
              <w:t>3 (23%)</w:t>
            </w:r>
          </w:p>
        </w:tc>
        <w:tc>
          <w:tcPr>
            <w:tcW w:w="2338" w:type="dxa"/>
          </w:tcPr>
          <w:p w14:paraId="77E5BB6F" w14:textId="778A4F1A" w:rsidR="00ED62BC" w:rsidRDefault="0098657F" w:rsidP="00DF4104">
            <w:r>
              <w:t>7</w:t>
            </w:r>
            <w:r w:rsidR="00903944">
              <w:t xml:space="preserve"> (54%)</w:t>
            </w:r>
          </w:p>
        </w:tc>
      </w:tr>
      <w:tr w:rsidR="00ED62BC" w14:paraId="6CC49C0E" w14:textId="77777777" w:rsidTr="00DF4104">
        <w:tc>
          <w:tcPr>
            <w:tcW w:w="2337" w:type="dxa"/>
          </w:tcPr>
          <w:p w14:paraId="1DBBE13D" w14:textId="40AC182B" w:rsidR="00ED62BC" w:rsidRDefault="00ED62BC" w:rsidP="00DF4104">
            <w:r>
              <w:t>American Indian or Alaskan Native</w:t>
            </w:r>
            <w:r w:rsidR="0098657F">
              <w:t xml:space="preserve"> (n=9)</w:t>
            </w:r>
          </w:p>
        </w:tc>
        <w:tc>
          <w:tcPr>
            <w:tcW w:w="2337" w:type="dxa"/>
          </w:tcPr>
          <w:p w14:paraId="4BBCA6D8" w14:textId="357831D8" w:rsidR="00ED62BC" w:rsidRDefault="0098657F" w:rsidP="00DF4104">
            <w:r>
              <w:t>2</w:t>
            </w:r>
            <w:r w:rsidR="00903944">
              <w:t xml:space="preserve"> (22%)</w:t>
            </w:r>
          </w:p>
        </w:tc>
        <w:tc>
          <w:tcPr>
            <w:tcW w:w="2338" w:type="dxa"/>
          </w:tcPr>
          <w:p w14:paraId="1F598376" w14:textId="21DF1989" w:rsidR="00ED62BC" w:rsidRDefault="0098657F" w:rsidP="00DF4104">
            <w:r>
              <w:t>3</w:t>
            </w:r>
            <w:r w:rsidR="00903944">
              <w:t xml:space="preserve"> (33%)</w:t>
            </w:r>
          </w:p>
        </w:tc>
        <w:tc>
          <w:tcPr>
            <w:tcW w:w="2338" w:type="dxa"/>
          </w:tcPr>
          <w:p w14:paraId="48151B49" w14:textId="16E05D24" w:rsidR="00ED62BC" w:rsidRDefault="0098657F" w:rsidP="00DF4104">
            <w:r>
              <w:t>5</w:t>
            </w:r>
            <w:r w:rsidR="00903944">
              <w:t xml:space="preserve"> (56%)</w:t>
            </w:r>
          </w:p>
        </w:tc>
      </w:tr>
      <w:tr w:rsidR="0098657F" w14:paraId="731E247E" w14:textId="77777777" w:rsidTr="00DF4104">
        <w:tc>
          <w:tcPr>
            <w:tcW w:w="2337" w:type="dxa"/>
          </w:tcPr>
          <w:p w14:paraId="7F528597" w14:textId="34365DFD" w:rsidR="0098657F" w:rsidRDefault="0098657F" w:rsidP="00DF4104">
            <w:r>
              <w:t>Asian (n=0)</w:t>
            </w:r>
          </w:p>
        </w:tc>
        <w:tc>
          <w:tcPr>
            <w:tcW w:w="2337" w:type="dxa"/>
          </w:tcPr>
          <w:p w14:paraId="1BDBED31" w14:textId="35FFEB0D" w:rsidR="0098657F" w:rsidRDefault="0098657F" w:rsidP="00DF4104">
            <w:r>
              <w:t>0 (0%)</w:t>
            </w:r>
          </w:p>
        </w:tc>
        <w:tc>
          <w:tcPr>
            <w:tcW w:w="2338" w:type="dxa"/>
          </w:tcPr>
          <w:p w14:paraId="5F2723AD" w14:textId="35E9265B" w:rsidR="0098657F" w:rsidRDefault="0098657F" w:rsidP="00DF4104">
            <w:r>
              <w:t>0 (0%)</w:t>
            </w:r>
          </w:p>
        </w:tc>
        <w:tc>
          <w:tcPr>
            <w:tcW w:w="2338" w:type="dxa"/>
          </w:tcPr>
          <w:p w14:paraId="7B908A7F" w14:textId="4C713DEF" w:rsidR="0098657F" w:rsidRDefault="0098657F" w:rsidP="00DF4104">
            <w:r>
              <w:t>0 (0%)</w:t>
            </w:r>
          </w:p>
        </w:tc>
      </w:tr>
      <w:tr w:rsidR="00ED62BC" w14:paraId="3D7F8837" w14:textId="77777777" w:rsidTr="00DF4104">
        <w:tc>
          <w:tcPr>
            <w:tcW w:w="2337" w:type="dxa"/>
          </w:tcPr>
          <w:p w14:paraId="4DA3AB70" w14:textId="0873FBBD" w:rsidR="00ED62BC" w:rsidRDefault="00ED62BC" w:rsidP="00DF4104">
            <w:r>
              <w:t>Black or African American</w:t>
            </w:r>
            <w:r w:rsidR="0098657F">
              <w:t xml:space="preserve"> (n=4)</w:t>
            </w:r>
          </w:p>
        </w:tc>
        <w:tc>
          <w:tcPr>
            <w:tcW w:w="2337" w:type="dxa"/>
          </w:tcPr>
          <w:p w14:paraId="1AF4C653" w14:textId="6F12DAAC" w:rsidR="00ED62BC" w:rsidRDefault="00903944" w:rsidP="00DF4104">
            <w:r>
              <w:t>0 (0%)</w:t>
            </w:r>
          </w:p>
        </w:tc>
        <w:tc>
          <w:tcPr>
            <w:tcW w:w="2338" w:type="dxa"/>
          </w:tcPr>
          <w:p w14:paraId="3B692170" w14:textId="7C83762B" w:rsidR="00ED62BC" w:rsidRDefault="00903944" w:rsidP="00DF4104">
            <w:r>
              <w:t>0 (0%)</w:t>
            </w:r>
          </w:p>
        </w:tc>
        <w:tc>
          <w:tcPr>
            <w:tcW w:w="2338" w:type="dxa"/>
          </w:tcPr>
          <w:p w14:paraId="4B34A3DF" w14:textId="5A59548B" w:rsidR="00ED62BC" w:rsidRDefault="00903944" w:rsidP="00DF4104">
            <w:r>
              <w:t>0 (0%)</w:t>
            </w:r>
          </w:p>
        </w:tc>
      </w:tr>
      <w:tr w:rsidR="00ED62BC" w14:paraId="1D6DB543" w14:textId="77777777" w:rsidTr="00DF4104">
        <w:tc>
          <w:tcPr>
            <w:tcW w:w="2337" w:type="dxa"/>
          </w:tcPr>
          <w:p w14:paraId="60997687" w14:textId="31EB3A36" w:rsidR="00ED62BC" w:rsidRDefault="00ED62BC" w:rsidP="00DF4104">
            <w:r>
              <w:t>Native Hawaiian or Other Pacific Islander</w:t>
            </w:r>
            <w:r w:rsidR="0098657F">
              <w:t xml:space="preserve"> (n=0)</w:t>
            </w:r>
          </w:p>
        </w:tc>
        <w:tc>
          <w:tcPr>
            <w:tcW w:w="2337" w:type="dxa"/>
          </w:tcPr>
          <w:p w14:paraId="7A64FCFE" w14:textId="2824FC57" w:rsidR="00ED62BC" w:rsidRDefault="0098657F" w:rsidP="00DF4104">
            <w:r>
              <w:t>0 (0%)</w:t>
            </w:r>
          </w:p>
        </w:tc>
        <w:tc>
          <w:tcPr>
            <w:tcW w:w="2338" w:type="dxa"/>
          </w:tcPr>
          <w:p w14:paraId="0F4AA851" w14:textId="2DF15D77" w:rsidR="00ED62BC" w:rsidRDefault="0098657F" w:rsidP="00DF4104">
            <w:r>
              <w:t>0 (0%)</w:t>
            </w:r>
          </w:p>
        </w:tc>
        <w:tc>
          <w:tcPr>
            <w:tcW w:w="2338" w:type="dxa"/>
          </w:tcPr>
          <w:p w14:paraId="3E27F1A2" w14:textId="1F9B5920" w:rsidR="00ED62BC" w:rsidRDefault="0098657F" w:rsidP="00DF4104">
            <w:r>
              <w:t>0 (0%)</w:t>
            </w:r>
          </w:p>
        </w:tc>
      </w:tr>
      <w:tr w:rsidR="00ED62BC" w14:paraId="371D034A" w14:textId="77777777" w:rsidTr="00DF4104">
        <w:tc>
          <w:tcPr>
            <w:tcW w:w="2337" w:type="dxa"/>
          </w:tcPr>
          <w:p w14:paraId="14CF83EA" w14:textId="664C0280" w:rsidR="00ED62BC" w:rsidRDefault="00ED62BC" w:rsidP="00DF4104">
            <w:r>
              <w:t>White</w:t>
            </w:r>
            <w:r w:rsidR="0098657F">
              <w:t xml:space="preserve"> (n=188)</w:t>
            </w:r>
          </w:p>
        </w:tc>
        <w:tc>
          <w:tcPr>
            <w:tcW w:w="2337" w:type="dxa"/>
          </w:tcPr>
          <w:p w14:paraId="780460CD" w14:textId="06EE1366" w:rsidR="00ED62BC" w:rsidRDefault="0098657F" w:rsidP="00DF4104">
            <w:r>
              <w:t>72</w:t>
            </w:r>
            <w:r w:rsidR="00903944">
              <w:t xml:space="preserve"> (38%)</w:t>
            </w:r>
          </w:p>
        </w:tc>
        <w:tc>
          <w:tcPr>
            <w:tcW w:w="2338" w:type="dxa"/>
          </w:tcPr>
          <w:p w14:paraId="5B028C89" w14:textId="52E8A3BE" w:rsidR="00ED62BC" w:rsidRDefault="0098657F" w:rsidP="00DF4104">
            <w:r>
              <w:t>39</w:t>
            </w:r>
            <w:r w:rsidR="00903944">
              <w:t xml:space="preserve"> (21%)</w:t>
            </w:r>
          </w:p>
        </w:tc>
        <w:tc>
          <w:tcPr>
            <w:tcW w:w="2338" w:type="dxa"/>
          </w:tcPr>
          <w:p w14:paraId="0BD64B8C" w14:textId="2CCD0D66" w:rsidR="00ED62BC" w:rsidRDefault="0098657F" w:rsidP="00DF4104">
            <w:r>
              <w:t>111</w:t>
            </w:r>
            <w:r w:rsidR="00903944">
              <w:t xml:space="preserve"> (59%)</w:t>
            </w:r>
          </w:p>
        </w:tc>
      </w:tr>
      <w:tr w:rsidR="00ED62BC" w14:paraId="017D1CF1" w14:textId="77777777" w:rsidTr="00DF4104">
        <w:tc>
          <w:tcPr>
            <w:tcW w:w="2337" w:type="dxa"/>
          </w:tcPr>
          <w:p w14:paraId="6F140805" w14:textId="1A829B06" w:rsidR="00ED62BC" w:rsidRDefault="00ED62BC" w:rsidP="00DF4104">
            <w:r>
              <w:t>Two or More Races</w:t>
            </w:r>
            <w:r w:rsidR="0098657F">
              <w:t xml:space="preserve"> (n=5)</w:t>
            </w:r>
          </w:p>
        </w:tc>
        <w:tc>
          <w:tcPr>
            <w:tcW w:w="2337" w:type="dxa"/>
          </w:tcPr>
          <w:p w14:paraId="6E84955C" w14:textId="190BAE15" w:rsidR="00ED62BC" w:rsidRDefault="0098657F" w:rsidP="00DF4104">
            <w:r>
              <w:t>1</w:t>
            </w:r>
            <w:r w:rsidR="00903944">
              <w:t xml:space="preserve"> (20%)</w:t>
            </w:r>
          </w:p>
        </w:tc>
        <w:tc>
          <w:tcPr>
            <w:tcW w:w="2338" w:type="dxa"/>
          </w:tcPr>
          <w:p w14:paraId="6F62D9D6" w14:textId="37571717" w:rsidR="00ED62BC" w:rsidRDefault="0098657F" w:rsidP="00DF4104">
            <w:r>
              <w:t>0 (0%)</w:t>
            </w:r>
          </w:p>
        </w:tc>
        <w:tc>
          <w:tcPr>
            <w:tcW w:w="2338" w:type="dxa"/>
          </w:tcPr>
          <w:p w14:paraId="3E4BEAD7" w14:textId="45DDD92F" w:rsidR="00ED62BC" w:rsidRDefault="0098657F" w:rsidP="00DF4104">
            <w:r>
              <w:t>1</w:t>
            </w:r>
            <w:r w:rsidR="00903944">
              <w:t xml:space="preserve"> (20%)</w:t>
            </w:r>
          </w:p>
        </w:tc>
      </w:tr>
      <w:tr w:rsidR="00ED62BC" w14:paraId="714DCA16" w14:textId="77777777" w:rsidTr="00DF4104">
        <w:tc>
          <w:tcPr>
            <w:tcW w:w="2337" w:type="dxa"/>
          </w:tcPr>
          <w:p w14:paraId="37CBED11" w14:textId="072F10D6" w:rsidR="00ED62BC" w:rsidRDefault="00ED62BC" w:rsidP="00DF4104">
            <w:r>
              <w:t>Race and Ethnicity Unknown</w:t>
            </w:r>
            <w:r w:rsidR="0098657F">
              <w:t xml:space="preserve"> (n=1)</w:t>
            </w:r>
          </w:p>
        </w:tc>
        <w:tc>
          <w:tcPr>
            <w:tcW w:w="2337" w:type="dxa"/>
          </w:tcPr>
          <w:p w14:paraId="255282C4" w14:textId="45B12848" w:rsidR="00ED62BC" w:rsidRDefault="0098657F" w:rsidP="00DF4104">
            <w:r>
              <w:t>0</w:t>
            </w:r>
            <w:r w:rsidR="00903944">
              <w:t xml:space="preserve"> (0%)</w:t>
            </w:r>
          </w:p>
        </w:tc>
        <w:tc>
          <w:tcPr>
            <w:tcW w:w="2338" w:type="dxa"/>
          </w:tcPr>
          <w:p w14:paraId="696F531F" w14:textId="413716C5" w:rsidR="00ED62BC" w:rsidRDefault="0098657F" w:rsidP="00DF4104">
            <w:r>
              <w:t>0 (0%)</w:t>
            </w:r>
          </w:p>
        </w:tc>
        <w:tc>
          <w:tcPr>
            <w:tcW w:w="2338" w:type="dxa"/>
          </w:tcPr>
          <w:p w14:paraId="6ED4B5C2" w14:textId="0E32E3C8" w:rsidR="00ED62BC" w:rsidRDefault="0098657F" w:rsidP="00DF4104">
            <w:r>
              <w:t>0 (0%)</w:t>
            </w:r>
          </w:p>
        </w:tc>
      </w:tr>
      <w:tr w:rsidR="00ED62BC" w14:paraId="4EF22861" w14:textId="77777777" w:rsidTr="00DF4104">
        <w:tc>
          <w:tcPr>
            <w:tcW w:w="2337" w:type="dxa"/>
          </w:tcPr>
          <w:p w14:paraId="504E9C83" w14:textId="50172C79" w:rsidR="00ED62BC" w:rsidRPr="00ED62BC" w:rsidRDefault="00ED62BC" w:rsidP="00DF4104">
            <w:pPr>
              <w:rPr>
                <w:b/>
                <w:bCs/>
              </w:rPr>
            </w:pPr>
            <w:r>
              <w:rPr>
                <w:b/>
                <w:bCs/>
              </w:rPr>
              <w:t>Women</w:t>
            </w:r>
            <w:r w:rsidR="0098657F">
              <w:rPr>
                <w:b/>
                <w:bCs/>
              </w:rPr>
              <w:t xml:space="preserve"> (n=220)</w:t>
            </w:r>
          </w:p>
        </w:tc>
        <w:tc>
          <w:tcPr>
            <w:tcW w:w="2337" w:type="dxa"/>
          </w:tcPr>
          <w:p w14:paraId="72D7246E" w14:textId="28B65142" w:rsidR="00ED62BC" w:rsidRDefault="0098657F" w:rsidP="00DF4104">
            <w:r>
              <w:t>79</w:t>
            </w:r>
            <w:r w:rsidR="00903944">
              <w:t xml:space="preserve"> (36%</w:t>
            </w:r>
          </w:p>
        </w:tc>
        <w:tc>
          <w:tcPr>
            <w:tcW w:w="2338" w:type="dxa"/>
          </w:tcPr>
          <w:p w14:paraId="429D7DCE" w14:textId="44566F61" w:rsidR="00ED62BC" w:rsidRDefault="0098657F" w:rsidP="00DF4104">
            <w:r>
              <w:t>45</w:t>
            </w:r>
            <w:r w:rsidR="00903944">
              <w:t xml:space="preserve"> (20%)</w:t>
            </w:r>
          </w:p>
        </w:tc>
        <w:tc>
          <w:tcPr>
            <w:tcW w:w="2338" w:type="dxa"/>
          </w:tcPr>
          <w:p w14:paraId="2EF02CC4" w14:textId="2FD37BFA" w:rsidR="00ED62BC" w:rsidRDefault="0098657F" w:rsidP="00DF4104">
            <w:r>
              <w:t>124</w:t>
            </w:r>
            <w:r w:rsidR="00903944">
              <w:t xml:space="preserve"> (56%)</w:t>
            </w:r>
          </w:p>
        </w:tc>
      </w:tr>
    </w:tbl>
    <w:p w14:paraId="7CAF7200" w14:textId="77777777" w:rsidR="00ED62BC" w:rsidRDefault="00ED62BC"/>
    <w:p w14:paraId="39E0635C" w14:textId="77777777" w:rsidR="00845E63" w:rsidRDefault="00845E63"/>
    <w:p w14:paraId="4B611E81" w14:textId="120A3E7D" w:rsidR="00845E63" w:rsidRPr="0081076C" w:rsidRDefault="00D72B16">
      <w:pPr>
        <w:rPr>
          <w:b/>
          <w:bCs/>
        </w:rPr>
      </w:pPr>
      <w:r w:rsidRPr="0081076C">
        <w:rPr>
          <w:b/>
          <w:bCs/>
        </w:rPr>
        <w:t xml:space="preserve">Overall Graduation Rate </w:t>
      </w:r>
    </w:p>
    <w:p w14:paraId="2816B392" w14:textId="649267FD" w:rsidR="002E5D77" w:rsidRDefault="002E5D77">
      <w:r w:rsidRPr="002E5D77">
        <w:t>The overall graduation rate is also known as the "Student Right to Know" or IPEDS graduation rate. It tracks the progress of students who began their studies as </w:t>
      </w:r>
      <w:r w:rsidRPr="002E5D77">
        <w:rPr>
          <w:b/>
          <w:bCs/>
        </w:rPr>
        <w:t>full-time, first-time degree- or certificate-seeking students</w:t>
      </w:r>
      <w:r w:rsidRPr="002E5D77">
        <w:t> to see if they complete a degree or other award such as a certificate within 150% of "normal time" for completing the program in which they are enrolled.</w:t>
      </w:r>
      <w:r w:rsidRPr="002E5D77">
        <w:rPr>
          <w:rFonts w:ascii="Roboto" w:hAnsi="Roboto"/>
          <w:color w:val="2B2B2B"/>
          <w:sz w:val="30"/>
          <w:szCs w:val="30"/>
          <w:shd w:val="clear" w:color="auto" w:fill="FFFFFF"/>
        </w:rPr>
        <w:t xml:space="preserve"> </w:t>
      </w:r>
      <w:r w:rsidRPr="002E5D77">
        <w:t>St Clair County Community College also report a transfer-out rate, which is the percentage of the full-time, first-time students who transferred to another institution. Note that not all students at the institution are tracked for these rates. Students who have already attended another postsecondary institution, or who began their studies on a part-time basis, are not tracked for this rate.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D72B16" w14:paraId="015F3066" w14:textId="77777777">
        <w:tc>
          <w:tcPr>
            <w:tcW w:w="1558" w:type="dxa"/>
          </w:tcPr>
          <w:p w14:paraId="0F1F1B1E" w14:textId="77777777" w:rsidR="00D72B16" w:rsidRDefault="00D72B16"/>
        </w:tc>
        <w:tc>
          <w:tcPr>
            <w:tcW w:w="1558" w:type="dxa"/>
          </w:tcPr>
          <w:p w14:paraId="376001AD" w14:textId="15CAFC61" w:rsidR="00D72B16" w:rsidRDefault="00D72B16">
            <w:r>
              <w:t>2017</w:t>
            </w:r>
          </w:p>
        </w:tc>
        <w:tc>
          <w:tcPr>
            <w:tcW w:w="1558" w:type="dxa"/>
          </w:tcPr>
          <w:p w14:paraId="792D1107" w14:textId="76B332B6" w:rsidR="00D72B16" w:rsidRDefault="00D72B16">
            <w:r>
              <w:t>2018</w:t>
            </w:r>
          </w:p>
        </w:tc>
        <w:tc>
          <w:tcPr>
            <w:tcW w:w="1558" w:type="dxa"/>
          </w:tcPr>
          <w:p w14:paraId="50F328D0" w14:textId="6732CD67" w:rsidR="00D72B16" w:rsidRDefault="00D72B16">
            <w:r>
              <w:t>2019</w:t>
            </w:r>
          </w:p>
        </w:tc>
        <w:tc>
          <w:tcPr>
            <w:tcW w:w="1559" w:type="dxa"/>
          </w:tcPr>
          <w:p w14:paraId="1B71835D" w14:textId="52E35F0E" w:rsidR="00D72B16" w:rsidRDefault="00D72B16">
            <w:r>
              <w:t>2020</w:t>
            </w:r>
          </w:p>
        </w:tc>
        <w:tc>
          <w:tcPr>
            <w:tcW w:w="1559" w:type="dxa"/>
          </w:tcPr>
          <w:p w14:paraId="6CC94B6B" w14:textId="1229073D" w:rsidR="00D72B16" w:rsidRDefault="00D72B16">
            <w:r>
              <w:t>4-Year Total</w:t>
            </w:r>
          </w:p>
        </w:tc>
      </w:tr>
      <w:tr w:rsidR="00D72B16" w14:paraId="2AA161C4" w14:textId="77777777">
        <w:tc>
          <w:tcPr>
            <w:tcW w:w="1558" w:type="dxa"/>
          </w:tcPr>
          <w:p w14:paraId="3BD07B84" w14:textId="1F43C51A" w:rsidR="00D72B16" w:rsidRDefault="00D72B16">
            <w:r>
              <w:t>Graduation Rate (within 150%)</w:t>
            </w:r>
          </w:p>
        </w:tc>
        <w:tc>
          <w:tcPr>
            <w:tcW w:w="1558" w:type="dxa"/>
          </w:tcPr>
          <w:p w14:paraId="481F5537" w14:textId="1BE5FAAF" w:rsidR="00D72B16" w:rsidRDefault="00D72B16">
            <w:r>
              <w:t>23%</w:t>
            </w:r>
          </w:p>
        </w:tc>
        <w:tc>
          <w:tcPr>
            <w:tcW w:w="1558" w:type="dxa"/>
          </w:tcPr>
          <w:p w14:paraId="7514F140" w14:textId="30C30FB0" w:rsidR="00D72B16" w:rsidRDefault="00D72B16">
            <w:r>
              <w:t>21%</w:t>
            </w:r>
          </w:p>
        </w:tc>
        <w:tc>
          <w:tcPr>
            <w:tcW w:w="1558" w:type="dxa"/>
          </w:tcPr>
          <w:p w14:paraId="3F780F06" w14:textId="3BC61CCB" w:rsidR="00D72B16" w:rsidRDefault="00D72B16">
            <w:r>
              <w:t>25%</w:t>
            </w:r>
          </w:p>
        </w:tc>
        <w:tc>
          <w:tcPr>
            <w:tcW w:w="1559" w:type="dxa"/>
          </w:tcPr>
          <w:p w14:paraId="7BE52CDF" w14:textId="5CA92575" w:rsidR="00D72B16" w:rsidRDefault="00D72B16">
            <w:r>
              <w:t>32%</w:t>
            </w:r>
          </w:p>
        </w:tc>
        <w:tc>
          <w:tcPr>
            <w:tcW w:w="1559" w:type="dxa"/>
          </w:tcPr>
          <w:p w14:paraId="21F76318" w14:textId="285DD6FE" w:rsidR="00D72B16" w:rsidRDefault="00D72B16">
            <w:r>
              <w:t>25%</w:t>
            </w:r>
          </w:p>
        </w:tc>
      </w:tr>
      <w:tr w:rsidR="00D72B16" w14:paraId="58E2B722" w14:textId="77777777">
        <w:tc>
          <w:tcPr>
            <w:tcW w:w="1558" w:type="dxa"/>
          </w:tcPr>
          <w:p w14:paraId="0C307213" w14:textId="7EF683B2" w:rsidR="00D72B16" w:rsidRDefault="00D72B16">
            <w:r>
              <w:t>Transfer Rate</w:t>
            </w:r>
          </w:p>
        </w:tc>
        <w:tc>
          <w:tcPr>
            <w:tcW w:w="1558" w:type="dxa"/>
          </w:tcPr>
          <w:p w14:paraId="3994FC86" w14:textId="1D821476" w:rsidR="00D72B16" w:rsidRDefault="00D72B16">
            <w:r>
              <w:t>27%</w:t>
            </w:r>
          </w:p>
        </w:tc>
        <w:tc>
          <w:tcPr>
            <w:tcW w:w="1558" w:type="dxa"/>
          </w:tcPr>
          <w:p w14:paraId="23A86E4F" w14:textId="50E4B1A7" w:rsidR="00D72B16" w:rsidRDefault="00D72B16">
            <w:r>
              <w:t>23%</w:t>
            </w:r>
          </w:p>
        </w:tc>
        <w:tc>
          <w:tcPr>
            <w:tcW w:w="1558" w:type="dxa"/>
          </w:tcPr>
          <w:p w14:paraId="0F9C8712" w14:textId="677439B0" w:rsidR="00D72B16" w:rsidRDefault="00D72B16">
            <w:r>
              <w:t>21%</w:t>
            </w:r>
          </w:p>
        </w:tc>
        <w:tc>
          <w:tcPr>
            <w:tcW w:w="1559" w:type="dxa"/>
          </w:tcPr>
          <w:p w14:paraId="02F68420" w14:textId="39324786" w:rsidR="00D72B16" w:rsidRDefault="00D72B16">
            <w:r>
              <w:t>25%</w:t>
            </w:r>
          </w:p>
        </w:tc>
        <w:tc>
          <w:tcPr>
            <w:tcW w:w="1559" w:type="dxa"/>
          </w:tcPr>
          <w:p w14:paraId="46377726" w14:textId="5E5D3E06" w:rsidR="00D72B16" w:rsidRDefault="00D72B16">
            <w:r>
              <w:t>24%</w:t>
            </w:r>
          </w:p>
        </w:tc>
      </w:tr>
    </w:tbl>
    <w:p w14:paraId="1CDDED35" w14:textId="77777777" w:rsidR="00D72B16" w:rsidRDefault="00D72B16"/>
    <w:p w14:paraId="52EF6E5F" w14:textId="5D37773E" w:rsidR="002E5D77" w:rsidRPr="002E5D77" w:rsidRDefault="002E5D77" w:rsidP="002E5D77">
      <w:pPr>
        <w:rPr>
          <w:b/>
          <w:bCs/>
        </w:rPr>
      </w:pPr>
      <w:r w:rsidRPr="002E5D77">
        <w:rPr>
          <w:b/>
          <w:bCs/>
        </w:rPr>
        <w:lastRenderedPageBreak/>
        <w:t>St Clair County Community College graduation rate disaggregated by gender by recipients of a Financial Aid </w:t>
      </w:r>
    </w:p>
    <w:p w14:paraId="466A05FB" w14:textId="77777777" w:rsidR="002E5D77" w:rsidRPr="002E5D77" w:rsidRDefault="002E5D77" w:rsidP="002E5D77">
      <w:r w:rsidRPr="002E5D77">
        <w:t>Graduation rate disaggregated by recipients of a Federal Pell Grant, by recipients of a Federal Direct Loan (other than a Federal Direct Unsubsidized Stafford Loan) who did not receive a Federal Pell Grant, and by recipients of neither a Federal Pell Grant nor a Federal Direct Loan. </w:t>
      </w:r>
    </w:p>
    <w:p w14:paraId="6F0574FA" w14:textId="433D9C69" w:rsidR="002E5D77" w:rsidRDefault="002E5D77">
      <w:r>
        <w:t>2020 Cohort Graduation and Transfer-out Rate by Gender and Student Aid Type</w:t>
      </w:r>
    </w:p>
    <w:tbl>
      <w:tblPr>
        <w:tblStyle w:val="TableGrid"/>
        <w:tblW w:w="9445" w:type="dxa"/>
        <w:tblLook w:val="04A0" w:firstRow="1" w:lastRow="0" w:firstColumn="1" w:lastColumn="0" w:noHBand="0" w:noVBand="1"/>
      </w:tblPr>
      <w:tblGrid>
        <w:gridCol w:w="3865"/>
        <w:gridCol w:w="2520"/>
        <w:gridCol w:w="3060"/>
      </w:tblGrid>
      <w:tr w:rsidR="002E5D77" w14:paraId="75022879" w14:textId="77777777" w:rsidTr="002E5D77">
        <w:tc>
          <w:tcPr>
            <w:tcW w:w="3865" w:type="dxa"/>
          </w:tcPr>
          <w:p w14:paraId="058DC744" w14:textId="3226B9C9" w:rsidR="002E5D77" w:rsidRDefault="002E5D77">
            <w:r>
              <w:t>Student Aid Type</w:t>
            </w:r>
          </w:p>
        </w:tc>
        <w:tc>
          <w:tcPr>
            <w:tcW w:w="2520" w:type="dxa"/>
          </w:tcPr>
          <w:p w14:paraId="2B2223B7" w14:textId="266F7941" w:rsidR="002E5D77" w:rsidRDefault="002E5D77">
            <w:r>
              <w:t>Number of Students in the Cohort</w:t>
            </w:r>
          </w:p>
        </w:tc>
        <w:tc>
          <w:tcPr>
            <w:tcW w:w="3060" w:type="dxa"/>
          </w:tcPr>
          <w:p w14:paraId="57C0FD2B" w14:textId="0B802E61" w:rsidR="002E5D77" w:rsidRDefault="002E5D77">
            <w:r>
              <w:t>Graduation Rate</w:t>
            </w:r>
          </w:p>
        </w:tc>
      </w:tr>
      <w:tr w:rsidR="002E5D77" w14:paraId="44B0F395" w14:textId="77777777" w:rsidTr="002E5D77">
        <w:tc>
          <w:tcPr>
            <w:tcW w:w="3865" w:type="dxa"/>
          </w:tcPr>
          <w:p w14:paraId="6ED79DCB" w14:textId="21300BDA" w:rsidR="002E5D77" w:rsidRDefault="002E5D77">
            <w:r w:rsidRPr="002E5D77">
              <w:t>Full-time, first-time, degree/certificate-seeking cohort</w:t>
            </w:r>
          </w:p>
        </w:tc>
        <w:tc>
          <w:tcPr>
            <w:tcW w:w="2520" w:type="dxa"/>
          </w:tcPr>
          <w:p w14:paraId="60CD6E0E" w14:textId="3A6072F5" w:rsidR="002E5D77" w:rsidRDefault="002E5D77">
            <w:r>
              <w:t>360</w:t>
            </w:r>
          </w:p>
        </w:tc>
        <w:tc>
          <w:tcPr>
            <w:tcW w:w="3060" w:type="dxa"/>
          </w:tcPr>
          <w:p w14:paraId="4403EBEC" w14:textId="2A215DC0" w:rsidR="002E5D77" w:rsidRDefault="002E5D77">
            <w:r>
              <w:t>32%</w:t>
            </w:r>
          </w:p>
        </w:tc>
      </w:tr>
      <w:tr w:rsidR="002E5D77" w14:paraId="491670C6" w14:textId="77777777" w:rsidTr="002E5D77">
        <w:tc>
          <w:tcPr>
            <w:tcW w:w="3865" w:type="dxa"/>
          </w:tcPr>
          <w:p w14:paraId="537D7857" w14:textId="6A37AB7B" w:rsidR="002E5D77" w:rsidRDefault="002E5D77">
            <w:r w:rsidRPr="002E5D77">
              <w:t>Recipients of a Pell Grant (within entering year)</w:t>
            </w:r>
          </w:p>
        </w:tc>
        <w:tc>
          <w:tcPr>
            <w:tcW w:w="2520" w:type="dxa"/>
          </w:tcPr>
          <w:p w14:paraId="0F7E79F3" w14:textId="7F9DD904" w:rsidR="002E5D77" w:rsidRDefault="002E5D77">
            <w:r>
              <w:t>138</w:t>
            </w:r>
          </w:p>
        </w:tc>
        <w:tc>
          <w:tcPr>
            <w:tcW w:w="3060" w:type="dxa"/>
          </w:tcPr>
          <w:p w14:paraId="021918AD" w14:textId="6C38E7A5" w:rsidR="002E5D77" w:rsidRDefault="002E5D77">
            <w:r>
              <w:t>27%</w:t>
            </w:r>
          </w:p>
        </w:tc>
      </w:tr>
      <w:tr w:rsidR="002E5D77" w14:paraId="17475357" w14:textId="77777777" w:rsidTr="002E5D77">
        <w:tc>
          <w:tcPr>
            <w:tcW w:w="3865" w:type="dxa"/>
          </w:tcPr>
          <w:p w14:paraId="7CF13863" w14:textId="2CB53AD3" w:rsidR="002E5D77" w:rsidRDefault="002E5D77">
            <w:r w:rsidRPr="002E5D77">
              <w:t>Recipients of a Direct Subsidized Loan (Within entering year) that did not receive a Pell Grant</w:t>
            </w:r>
          </w:p>
        </w:tc>
        <w:tc>
          <w:tcPr>
            <w:tcW w:w="2520" w:type="dxa"/>
          </w:tcPr>
          <w:p w14:paraId="4D0D33B6" w14:textId="165B7B81" w:rsidR="002E5D77" w:rsidRDefault="002E5D77">
            <w:r>
              <w:t>11</w:t>
            </w:r>
          </w:p>
        </w:tc>
        <w:tc>
          <w:tcPr>
            <w:tcW w:w="3060" w:type="dxa"/>
          </w:tcPr>
          <w:p w14:paraId="0E85AFCD" w14:textId="00A6F7BC" w:rsidR="002E5D77" w:rsidRDefault="002E5D77">
            <w:r>
              <w:t>18%</w:t>
            </w:r>
          </w:p>
        </w:tc>
      </w:tr>
      <w:tr w:rsidR="002E5D77" w14:paraId="1A262F6F" w14:textId="77777777" w:rsidTr="002E5D77">
        <w:tc>
          <w:tcPr>
            <w:tcW w:w="3865" w:type="dxa"/>
          </w:tcPr>
          <w:p w14:paraId="2654DE50" w14:textId="7BBEB840" w:rsidR="002E5D77" w:rsidRDefault="002E5D77">
            <w:r w:rsidRPr="002E5D77">
              <w:t>Did not receive either a Pell Grant or Direct Subsidized Loan (within entering year)</w:t>
            </w:r>
          </w:p>
        </w:tc>
        <w:tc>
          <w:tcPr>
            <w:tcW w:w="2520" w:type="dxa"/>
          </w:tcPr>
          <w:p w14:paraId="20E17543" w14:textId="315FCEDF" w:rsidR="002E5D77" w:rsidRDefault="002E5D77">
            <w:r>
              <w:t>211</w:t>
            </w:r>
          </w:p>
        </w:tc>
        <w:tc>
          <w:tcPr>
            <w:tcW w:w="3060" w:type="dxa"/>
          </w:tcPr>
          <w:p w14:paraId="045C48C9" w14:textId="71AA2332" w:rsidR="002E5D77" w:rsidRDefault="002E5D77">
            <w:r>
              <w:t>36%</w:t>
            </w:r>
          </w:p>
        </w:tc>
      </w:tr>
    </w:tbl>
    <w:p w14:paraId="5BC8AE8A" w14:textId="77777777" w:rsidR="002E5D77" w:rsidRDefault="002E5D77"/>
    <w:p w14:paraId="16A7D2ED" w14:textId="230ABE81" w:rsidR="002E5D77" w:rsidRDefault="002E5D77">
      <w:r>
        <w:t>Updated 7/18/2025</w:t>
      </w:r>
    </w:p>
    <w:p w14:paraId="2B89382F" w14:textId="422780D0" w:rsidR="001D15C5" w:rsidRDefault="001D15C5">
      <w:r>
        <w:t xml:space="preserve">Source: </w:t>
      </w:r>
      <w:r w:rsidRPr="001D15C5">
        <w:t xml:space="preserve">U.S. Department of Education, National Center for Education Statistics, Integrated Postsecondary Education Data System (IPEDS), </w:t>
      </w:r>
      <w:r>
        <w:t>2023</w:t>
      </w:r>
      <w:r w:rsidRPr="001D15C5">
        <w:t xml:space="preserve">, </w:t>
      </w:r>
      <w:r>
        <w:t>Graduation Rates</w:t>
      </w:r>
      <w:r w:rsidRPr="001D15C5">
        <w:t xml:space="preserve">. Retrieved from </w:t>
      </w:r>
      <w:hyperlink r:id="rId4" w:history="1">
        <w:r w:rsidRPr="00280993">
          <w:rPr>
            <w:rStyle w:val="Hyperlink"/>
          </w:rPr>
          <w:t>https://nces.ed.gov/ipeds/reported-data/172291?year=2023&amp;surveyNumber=8</w:t>
        </w:r>
      </w:hyperlink>
      <w:r>
        <w:t xml:space="preserve"> </w:t>
      </w:r>
      <w:r w:rsidRPr="001D15C5">
        <w:t xml:space="preserve">on </w:t>
      </w:r>
      <w:r>
        <w:t>July 17, 2025</w:t>
      </w:r>
      <w:r w:rsidRPr="001D15C5">
        <w:t>.</w:t>
      </w:r>
    </w:p>
    <w:sectPr w:rsidR="001D1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BC"/>
    <w:rsid w:val="001D15C5"/>
    <w:rsid w:val="002E5D77"/>
    <w:rsid w:val="00326189"/>
    <w:rsid w:val="00404079"/>
    <w:rsid w:val="004A6A72"/>
    <w:rsid w:val="004B5203"/>
    <w:rsid w:val="00766AEB"/>
    <w:rsid w:val="007F1C5E"/>
    <w:rsid w:val="0081076C"/>
    <w:rsid w:val="00830556"/>
    <w:rsid w:val="00845E63"/>
    <w:rsid w:val="008936AF"/>
    <w:rsid w:val="00903944"/>
    <w:rsid w:val="00911C07"/>
    <w:rsid w:val="0094294A"/>
    <w:rsid w:val="0098657F"/>
    <w:rsid w:val="00995821"/>
    <w:rsid w:val="00A06096"/>
    <w:rsid w:val="00A26EB0"/>
    <w:rsid w:val="00C710FE"/>
    <w:rsid w:val="00D54A18"/>
    <w:rsid w:val="00D72B16"/>
    <w:rsid w:val="00ED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48DD"/>
  <w15:chartTrackingRefBased/>
  <w15:docId w15:val="{B80B850A-2618-4EFC-BA09-B0866B11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2BC"/>
    <w:rPr>
      <w:rFonts w:eastAsiaTheme="majorEastAsia" w:cstheme="majorBidi"/>
      <w:color w:val="272727" w:themeColor="text1" w:themeTint="D8"/>
    </w:rPr>
  </w:style>
  <w:style w:type="paragraph" w:styleId="Title">
    <w:name w:val="Title"/>
    <w:basedOn w:val="Normal"/>
    <w:next w:val="Normal"/>
    <w:link w:val="TitleChar"/>
    <w:uiPriority w:val="10"/>
    <w:qFormat/>
    <w:rsid w:val="00ED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2BC"/>
    <w:pPr>
      <w:spacing w:before="160"/>
      <w:jc w:val="center"/>
    </w:pPr>
    <w:rPr>
      <w:i/>
      <w:iCs/>
      <w:color w:val="404040" w:themeColor="text1" w:themeTint="BF"/>
    </w:rPr>
  </w:style>
  <w:style w:type="character" w:customStyle="1" w:styleId="QuoteChar">
    <w:name w:val="Quote Char"/>
    <w:basedOn w:val="DefaultParagraphFont"/>
    <w:link w:val="Quote"/>
    <w:uiPriority w:val="29"/>
    <w:rsid w:val="00ED62BC"/>
    <w:rPr>
      <w:i/>
      <w:iCs/>
      <w:color w:val="404040" w:themeColor="text1" w:themeTint="BF"/>
    </w:rPr>
  </w:style>
  <w:style w:type="paragraph" w:styleId="ListParagraph">
    <w:name w:val="List Paragraph"/>
    <w:basedOn w:val="Normal"/>
    <w:uiPriority w:val="34"/>
    <w:qFormat/>
    <w:rsid w:val="00ED62BC"/>
    <w:pPr>
      <w:ind w:left="720"/>
      <w:contextualSpacing/>
    </w:pPr>
  </w:style>
  <w:style w:type="character" w:styleId="IntenseEmphasis">
    <w:name w:val="Intense Emphasis"/>
    <w:basedOn w:val="DefaultParagraphFont"/>
    <w:uiPriority w:val="21"/>
    <w:qFormat/>
    <w:rsid w:val="00ED62BC"/>
    <w:rPr>
      <w:i/>
      <w:iCs/>
      <w:color w:val="0F4761" w:themeColor="accent1" w:themeShade="BF"/>
    </w:rPr>
  </w:style>
  <w:style w:type="paragraph" w:styleId="IntenseQuote">
    <w:name w:val="Intense Quote"/>
    <w:basedOn w:val="Normal"/>
    <w:next w:val="Normal"/>
    <w:link w:val="IntenseQuoteChar"/>
    <w:uiPriority w:val="30"/>
    <w:qFormat/>
    <w:rsid w:val="00ED6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2BC"/>
    <w:rPr>
      <w:i/>
      <w:iCs/>
      <w:color w:val="0F4761" w:themeColor="accent1" w:themeShade="BF"/>
    </w:rPr>
  </w:style>
  <w:style w:type="character" w:styleId="IntenseReference">
    <w:name w:val="Intense Reference"/>
    <w:basedOn w:val="DefaultParagraphFont"/>
    <w:uiPriority w:val="32"/>
    <w:qFormat/>
    <w:rsid w:val="00ED62BC"/>
    <w:rPr>
      <w:b/>
      <w:bCs/>
      <w:smallCaps/>
      <w:color w:val="0F4761" w:themeColor="accent1" w:themeShade="BF"/>
      <w:spacing w:val="5"/>
    </w:rPr>
  </w:style>
  <w:style w:type="character" w:styleId="Hyperlink">
    <w:name w:val="Hyperlink"/>
    <w:basedOn w:val="DefaultParagraphFont"/>
    <w:uiPriority w:val="99"/>
    <w:unhideWhenUsed/>
    <w:rsid w:val="00ED62BC"/>
    <w:rPr>
      <w:color w:val="467886" w:themeColor="hyperlink"/>
      <w:u w:val="single"/>
    </w:rPr>
  </w:style>
  <w:style w:type="character" w:styleId="UnresolvedMention">
    <w:name w:val="Unresolved Mention"/>
    <w:basedOn w:val="DefaultParagraphFont"/>
    <w:uiPriority w:val="99"/>
    <w:semiHidden/>
    <w:unhideWhenUsed/>
    <w:rsid w:val="00ED62BC"/>
    <w:rPr>
      <w:color w:val="605E5C"/>
      <w:shd w:val="clear" w:color="auto" w:fill="E1DFDD"/>
    </w:rPr>
  </w:style>
  <w:style w:type="table" w:styleId="TableGrid">
    <w:name w:val="Table Grid"/>
    <w:basedOn w:val="TableNormal"/>
    <w:uiPriority w:val="39"/>
    <w:rsid w:val="00ED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98702">
      <w:bodyDiv w:val="1"/>
      <w:marLeft w:val="0"/>
      <w:marRight w:val="0"/>
      <w:marTop w:val="0"/>
      <w:marBottom w:val="0"/>
      <w:divBdr>
        <w:top w:val="none" w:sz="0" w:space="0" w:color="auto"/>
        <w:left w:val="none" w:sz="0" w:space="0" w:color="auto"/>
        <w:bottom w:val="none" w:sz="0" w:space="0" w:color="auto"/>
        <w:right w:val="none" w:sz="0" w:space="0" w:color="auto"/>
      </w:divBdr>
    </w:div>
    <w:div w:id="1308632467">
      <w:bodyDiv w:val="1"/>
      <w:marLeft w:val="0"/>
      <w:marRight w:val="0"/>
      <w:marTop w:val="0"/>
      <w:marBottom w:val="0"/>
      <w:divBdr>
        <w:top w:val="none" w:sz="0" w:space="0" w:color="auto"/>
        <w:left w:val="none" w:sz="0" w:space="0" w:color="auto"/>
        <w:bottom w:val="none" w:sz="0" w:space="0" w:color="auto"/>
        <w:right w:val="none" w:sz="0" w:space="0" w:color="auto"/>
      </w:divBdr>
    </w:div>
    <w:div w:id="1614244797">
      <w:bodyDiv w:val="1"/>
      <w:marLeft w:val="0"/>
      <w:marRight w:val="0"/>
      <w:marTop w:val="0"/>
      <w:marBottom w:val="0"/>
      <w:divBdr>
        <w:top w:val="none" w:sz="0" w:space="0" w:color="auto"/>
        <w:left w:val="none" w:sz="0" w:space="0" w:color="auto"/>
        <w:bottom w:val="none" w:sz="0" w:space="0" w:color="auto"/>
        <w:right w:val="none" w:sz="0" w:space="0" w:color="auto"/>
      </w:divBdr>
    </w:div>
    <w:div w:id="18746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ces.ed.gov/ipeds/reported-data/172291?year=2023&amp;surveyNumber=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SC4</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Hilton</dc:creator>
  <cp:keywords/>
  <dc:description/>
  <cp:lastModifiedBy>Marci Orrell</cp:lastModifiedBy>
  <cp:revision>2</cp:revision>
  <dcterms:created xsi:type="dcterms:W3CDTF">2025-10-21T16:43:00Z</dcterms:created>
  <dcterms:modified xsi:type="dcterms:W3CDTF">2025-10-21T16:43:00Z</dcterms:modified>
</cp:coreProperties>
</file>